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C3D" w:rsidRPr="007A1C3D" w:rsidRDefault="007A1C3D" w:rsidP="007A1C3D">
      <w:pPr>
        <w:jc w:val="right"/>
        <w:rPr>
          <w:rFonts w:asciiTheme="majorEastAsia" w:eastAsiaTheme="majorEastAsia" w:hAnsiTheme="majorEastAsia"/>
          <w:szCs w:val="21"/>
        </w:rPr>
      </w:pPr>
    </w:p>
    <w:p w:rsidR="0056595C" w:rsidRDefault="00730E3C" w:rsidP="0056595C">
      <w:pPr>
        <w:jc w:val="center"/>
        <w:rPr>
          <w:rFonts w:asciiTheme="majorEastAsia" w:eastAsiaTheme="majorEastAsia" w:hAnsiTheme="majorEastAsia" w:hint="eastAsia"/>
          <w:b/>
          <w:sz w:val="32"/>
        </w:rPr>
      </w:pPr>
      <w:r w:rsidRPr="001B5CF0">
        <w:rPr>
          <w:rFonts w:asciiTheme="majorEastAsia" w:eastAsiaTheme="majorEastAsia" w:hAnsiTheme="majorEastAsia" w:hint="eastAsia"/>
          <w:b/>
          <w:sz w:val="32"/>
        </w:rPr>
        <w:t>和歌山労災病院　疑義照会事前合意プロトコール</w:t>
      </w:r>
    </w:p>
    <w:p w:rsidR="00A90679" w:rsidRDefault="007A1C3D" w:rsidP="0056595C">
      <w:pPr>
        <w:jc w:val="right"/>
        <w:rPr>
          <w:rFonts w:asciiTheme="majorEastAsia" w:eastAsiaTheme="majorEastAsia" w:hAnsiTheme="majorEastAsia"/>
          <w:szCs w:val="21"/>
        </w:rPr>
      </w:pPr>
      <w:r>
        <w:rPr>
          <w:rFonts w:asciiTheme="majorEastAsia" w:eastAsiaTheme="majorEastAsia" w:hAnsiTheme="majorEastAsia"/>
          <w:b/>
          <w:sz w:val="12"/>
        </w:rPr>
        <w:t xml:space="preserve">　　　　　　　　　　　　　　　　　　　　　　　　　　　　　　　　　　　　　　　　　　　　　　　　　　　</w:t>
      </w:r>
      <w:r w:rsidRPr="007A1C3D">
        <w:rPr>
          <w:rFonts w:asciiTheme="majorEastAsia" w:eastAsiaTheme="majorEastAsia" w:hAnsiTheme="majorEastAsia"/>
          <w:szCs w:val="21"/>
        </w:rPr>
        <w:t xml:space="preserve">和歌山労災病院　</w:t>
      </w:r>
      <w:r w:rsidR="0090146C">
        <w:rPr>
          <w:rFonts w:asciiTheme="majorEastAsia" w:eastAsiaTheme="majorEastAsia" w:hAnsiTheme="majorEastAsia"/>
          <w:szCs w:val="21"/>
        </w:rPr>
        <w:t>薬剤部</w:t>
      </w:r>
    </w:p>
    <w:p w:rsidR="0056595C" w:rsidRPr="0056595C" w:rsidRDefault="0056595C" w:rsidP="0056595C">
      <w:pPr>
        <w:jc w:val="right"/>
        <w:rPr>
          <w:rFonts w:asciiTheme="majorEastAsia" w:eastAsiaTheme="majorEastAsia" w:hAnsiTheme="majorEastAsia" w:hint="eastAsia"/>
          <w:szCs w:val="21"/>
        </w:rPr>
      </w:pPr>
    </w:p>
    <w:p w:rsidR="00730E3C" w:rsidRPr="0090244F" w:rsidRDefault="00730E3C" w:rsidP="0090244F">
      <w:pPr>
        <w:pStyle w:val="aa"/>
        <w:numPr>
          <w:ilvl w:val="0"/>
          <w:numId w:val="1"/>
        </w:numPr>
        <w:ind w:leftChars="0"/>
        <w:rPr>
          <w:rFonts w:asciiTheme="majorEastAsia" w:eastAsiaTheme="majorEastAsia" w:hAnsiTheme="majorEastAsia"/>
          <w:b/>
          <w:sz w:val="22"/>
        </w:rPr>
      </w:pPr>
      <w:r w:rsidRPr="0090244F">
        <w:rPr>
          <w:rFonts w:asciiTheme="majorEastAsia" w:eastAsiaTheme="majorEastAsia" w:hAnsiTheme="majorEastAsia" w:hint="eastAsia"/>
          <w:b/>
          <w:sz w:val="22"/>
        </w:rPr>
        <w:t>成分が同一の銘柄変更</w:t>
      </w:r>
    </w:p>
    <w:p w:rsidR="00730E3C" w:rsidRPr="00730E3C" w:rsidRDefault="0090244F" w:rsidP="00730E3C">
      <w:pPr>
        <w:rPr>
          <w:rFonts w:asciiTheme="majorEastAsia" w:eastAsiaTheme="majorEastAsia" w:hAnsiTheme="majorEastAsia"/>
          <w:sz w:val="22"/>
        </w:rPr>
      </w:pPr>
      <w:r>
        <w:rPr>
          <w:rFonts w:asciiTheme="majorEastAsia" w:eastAsiaTheme="majorEastAsia" w:hAnsiTheme="majorEastAsia" w:hint="eastAsia"/>
          <w:sz w:val="22"/>
        </w:rPr>
        <w:t>・先発医薬品同士</w:t>
      </w:r>
      <w:r w:rsidR="00730E3C" w:rsidRPr="00730E3C">
        <w:rPr>
          <w:rFonts w:asciiTheme="majorEastAsia" w:eastAsiaTheme="majorEastAsia" w:hAnsiTheme="majorEastAsia" w:hint="eastAsia"/>
          <w:sz w:val="22"/>
        </w:rPr>
        <w:t>、後発医薬品から先発医薬品も可</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・院外処方せんの後発変更不可欄にチェックがあれば不可</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・必ず患者へ説明（変更理由、価格）後、同意を得て変更のこと</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例：アムロジンOD錠5ｍｇ→ノルバスクOD</w:t>
      </w:r>
      <w:r w:rsidR="0090244F">
        <w:rPr>
          <w:rFonts w:asciiTheme="majorEastAsia" w:eastAsiaTheme="majorEastAsia" w:hAnsiTheme="majorEastAsia" w:hint="eastAsia"/>
          <w:sz w:val="22"/>
        </w:rPr>
        <w:t>錠</w:t>
      </w:r>
      <w:r w:rsidRPr="00730E3C">
        <w:rPr>
          <w:rFonts w:asciiTheme="majorEastAsia" w:eastAsiaTheme="majorEastAsia" w:hAnsiTheme="majorEastAsia" w:hint="eastAsia"/>
          <w:sz w:val="22"/>
        </w:rPr>
        <w:t>5ｍｇ</w:t>
      </w:r>
    </w:p>
    <w:p w:rsidR="001B5CF0" w:rsidRPr="001B5CF0" w:rsidRDefault="00730E3C" w:rsidP="0056595C">
      <w:pPr>
        <w:ind w:firstLineChars="200" w:firstLine="440"/>
        <w:rPr>
          <w:rFonts w:asciiTheme="majorEastAsia" w:eastAsiaTheme="majorEastAsia" w:hAnsiTheme="majorEastAsia" w:hint="eastAsia"/>
          <w:sz w:val="22"/>
        </w:rPr>
      </w:pPr>
      <w:r w:rsidRPr="00730E3C">
        <w:rPr>
          <w:rFonts w:asciiTheme="majorEastAsia" w:eastAsiaTheme="majorEastAsia" w:hAnsiTheme="majorEastAsia" w:hint="eastAsia"/>
          <w:sz w:val="22"/>
        </w:rPr>
        <w:t>→アムロジピンOD</w:t>
      </w:r>
      <w:r w:rsidR="0090244F">
        <w:rPr>
          <w:rFonts w:asciiTheme="majorEastAsia" w:eastAsiaTheme="majorEastAsia" w:hAnsiTheme="majorEastAsia" w:hint="eastAsia"/>
          <w:sz w:val="22"/>
        </w:rPr>
        <w:t>錠</w:t>
      </w:r>
      <w:r w:rsidRPr="00730E3C">
        <w:rPr>
          <w:rFonts w:asciiTheme="majorEastAsia" w:eastAsiaTheme="majorEastAsia" w:hAnsiTheme="majorEastAsia" w:hint="eastAsia"/>
          <w:sz w:val="22"/>
        </w:rPr>
        <w:t>「トーワ」</w:t>
      </w:r>
    </w:p>
    <w:p w:rsidR="00730E3C" w:rsidRPr="00730E3C"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t>② 剤形の変更（安定性、利便性向上の為の変更に限る）</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・用法・用量が変わらない場合のみ可</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・抗悪性腫瘍剤（ステロイドを含む）は不可とする</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・安定性、溶解性、体内動態、服薬状況を考慮のこと</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・軟膏剤、クリーム剤等は不可（軟膏剤→クリーム剤、クリーム剤→軟膏剤は不可）</w:t>
      </w:r>
    </w:p>
    <w:p w:rsidR="00E054CD"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・パップ剤⇔テープ剤等の変更は可</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（成分が同じものに限る、枚数も原則同じとする</w:t>
      </w:r>
      <w:r w:rsidR="00E054CD">
        <w:rPr>
          <w:rFonts w:asciiTheme="majorEastAsia" w:eastAsiaTheme="majorEastAsia" w:hAnsiTheme="majorEastAsia" w:hint="eastAsia"/>
          <w:sz w:val="22"/>
        </w:rPr>
        <w:t>。</w:t>
      </w:r>
      <w:r w:rsidR="0056595C">
        <w:rPr>
          <w:rFonts w:asciiTheme="majorEastAsia" w:eastAsiaTheme="majorEastAsia" w:hAnsiTheme="majorEastAsia" w:hint="eastAsia"/>
          <w:sz w:val="22"/>
        </w:rPr>
        <w:t>規格違いは疑義照会</w:t>
      </w:r>
      <w:r w:rsidR="00830F98" w:rsidRPr="00992AEA">
        <w:rPr>
          <w:rFonts w:asciiTheme="majorEastAsia" w:eastAsiaTheme="majorEastAsia" w:hAnsiTheme="majorEastAsia" w:hint="eastAsia"/>
          <w:sz w:val="22"/>
        </w:rPr>
        <w:t xml:space="preserve"> </w:t>
      </w:r>
      <w:r w:rsidRPr="00730E3C">
        <w:rPr>
          <w:rFonts w:asciiTheme="majorEastAsia" w:eastAsiaTheme="majorEastAsia" w:hAnsiTheme="majorEastAsia" w:hint="eastAsia"/>
          <w:sz w:val="22"/>
        </w:rPr>
        <w:t>）</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・必ず患者へ説明（服用方法、価格）後、同意を得て変更のこと</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例：ノルバスク錠5ｍｇ→ノルバスクOD錠5ｍｇ</w:t>
      </w:r>
    </w:p>
    <w:p w:rsidR="00730E3C" w:rsidRPr="00730E3C" w:rsidRDefault="00730E3C" w:rsidP="00251B55">
      <w:pPr>
        <w:ind w:firstLineChars="100" w:firstLine="220"/>
        <w:rPr>
          <w:rFonts w:asciiTheme="majorEastAsia" w:eastAsiaTheme="majorEastAsia" w:hAnsiTheme="majorEastAsia"/>
          <w:sz w:val="22"/>
        </w:rPr>
      </w:pPr>
      <w:r w:rsidRPr="00730E3C">
        <w:rPr>
          <w:rFonts w:asciiTheme="majorEastAsia" w:eastAsiaTheme="majorEastAsia" w:hAnsiTheme="majorEastAsia" w:hint="eastAsia"/>
          <w:sz w:val="22"/>
        </w:rPr>
        <w:t>ミヤBM錠→ミヤBM細粒</w:t>
      </w:r>
    </w:p>
    <w:p w:rsidR="001B5CF0" w:rsidRPr="00730E3C" w:rsidRDefault="00730E3C" w:rsidP="0056595C">
      <w:pPr>
        <w:ind w:firstLineChars="100" w:firstLine="220"/>
        <w:rPr>
          <w:rFonts w:asciiTheme="majorEastAsia" w:eastAsiaTheme="majorEastAsia" w:hAnsiTheme="majorEastAsia" w:hint="eastAsia"/>
          <w:sz w:val="22"/>
        </w:rPr>
      </w:pPr>
      <w:r w:rsidRPr="00730E3C">
        <w:rPr>
          <w:rFonts w:asciiTheme="majorEastAsia" w:eastAsiaTheme="majorEastAsia" w:hAnsiTheme="majorEastAsia" w:hint="eastAsia"/>
          <w:sz w:val="22"/>
        </w:rPr>
        <w:t>ロキソニンパップ100ｍｇ→ロキソニンテープ100ｍｇ</w:t>
      </w:r>
    </w:p>
    <w:p w:rsidR="00730E3C" w:rsidRPr="00730E3C"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t>③ 規格が複数ある医薬品の規格変更</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・安全性、利便性の向上の場合に限る</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・必ず患者への説明（薬効、安定性、服用方法、価格）後、同意を得て変更のこと</w:t>
      </w:r>
    </w:p>
    <w:p w:rsidR="00730E3C" w:rsidRPr="00730E3C" w:rsidRDefault="0090244F" w:rsidP="00730E3C">
      <w:pPr>
        <w:rPr>
          <w:rFonts w:asciiTheme="majorEastAsia" w:eastAsiaTheme="majorEastAsia" w:hAnsiTheme="majorEastAsia"/>
          <w:sz w:val="22"/>
        </w:rPr>
      </w:pPr>
      <w:r>
        <w:rPr>
          <w:rFonts w:asciiTheme="majorEastAsia" w:eastAsiaTheme="majorEastAsia" w:hAnsiTheme="majorEastAsia" w:hint="eastAsia"/>
          <w:sz w:val="22"/>
        </w:rPr>
        <w:t>例：5</w:t>
      </w:r>
      <w:r w:rsidR="00730E3C" w:rsidRPr="00730E3C">
        <w:rPr>
          <w:rFonts w:asciiTheme="majorEastAsia" w:eastAsiaTheme="majorEastAsia" w:hAnsiTheme="majorEastAsia" w:hint="eastAsia"/>
          <w:sz w:val="22"/>
        </w:rPr>
        <w:t>ｍｇ錠</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00730E3C" w:rsidRPr="00730E3C">
        <w:rPr>
          <w:rFonts w:asciiTheme="majorEastAsia" w:eastAsiaTheme="majorEastAsia" w:hAnsiTheme="majorEastAsia" w:hint="eastAsia"/>
          <w:sz w:val="22"/>
        </w:rPr>
        <w:t>1回2錠</w:t>
      </w:r>
      <w:r>
        <w:rPr>
          <w:rFonts w:asciiTheme="majorEastAsia" w:eastAsiaTheme="majorEastAsia" w:hAnsiTheme="majorEastAsia" w:hint="eastAsia"/>
          <w:sz w:val="22"/>
        </w:rPr>
        <w:t xml:space="preserve">　</w:t>
      </w:r>
      <w:r w:rsidR="00730E3C" w:rsidRPr="00730E3C">
        <w:rPr>
          <w:rFonts w:asciiTheme="majorEastAsia" w:eastAsiaTheme="majorEastAsia" w:hAnsiTheme="majorEastAsia" w:hint="eastAsia"/>
          <w:sz w:val="22"/>
        </w:rPr>
        <w:t>→10ｍｇ1回1錠</w:t>
      </w:r>
    </w:p>
    <w:p w:rsidR="001B5CF0" w:rsidRPr="00730E3C" w:rsidRDefault="00730E3C" w:rsidP="0056595C">
      <w:pPr>
        <w:ind w:firstLineChars="200" w:firstLine="440"/>
        <w:rPr>
          <w:rFonts w:asciiTheme="majorEastAsia" w:eastAsiaTheme="majorEastAsia" w:hAnsiTheme="majorEastAsia" w:hint="eastAsia"/>
          <w:sz w:val="22"/>
        </w:rPr>
      </w:pPr>
      <w:r w:rsidRPr="00730E3C">
        <w:rPr>
          <w:rFonts w:asciiTheme="majorEastAsia" w:eastAsiaTheme="majorEastAsia" w:hAnsiTheme="majorEastAsia" w:hint="eastAsia"/>
          <w:sz w:val="22"/>
        </w:rPr>
        <w:t>10ｍｇ錠1回0.5錠</w:t>
      </w:r>
      <w:r w:rsidR="0090244F">
        <w:rPr>
          <w:rFonts w:asciiTheme="majorEastAsia" w:eastAsiaTheme="majorEastAsia" w:hAnsiTheme="majorEastAsia" w:hint="eastAsia"/>
          <w:sz w:val="22"/>
        </w:rPr>
        <w:t xml:space="preserve"> </w:t>
      </w:r>
      <w:r w:rsidRPr="00730E3C">
        <w:rPr>
          <w:rFonts w:asciiTheme="majorEastAsia" w:eastAsiaTheme="majorEastAsia" w:hAnsiTheme="majorEastAsia" w:hint="eastAsia"/>
          <w:sz w:val="22"/>
        </w:rPr>
        <w:t>→5ｍｇ1回1錠</w:t>
      </w:r>
    </w:p>
    <w:p w:rsidR="00730E3C" w:rsidRPr="00730E3C"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t>④ 軟膏や湿布薬での用量規格の変更</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・合計処方量が変わらない場合に限る</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・必ず患者へ説明（変更理由、価格）後、同意を得て変更のこと</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例：マイザー軟膏0.05</w:t>
      </w:r>
      <w:r w:rsidR="0090244F">
        <w:rPr>
          <w:rFonts w:asciiTheme="majorEastAsia" w:eastAsiaTheme="majorEastAsia" w:hAnsiTheme="majorEastAsia" w:hint="eastAsia"/>
          <w:sz w:val="22"/>
        </w:rPr>
        <w:t>％5</w:t>
      </w:r>
      <w:r w:rsidRPr="00730E3C">
        <w:rPr>
          <w:rFonts w:asciiTheme="majorEastAsia" w:eastAsiaTheme="majorEastAsia" w:hAnsiTheme="majorEastAsia" w:hint="eastAsia"/>
          <w:sz w:val="22"/>
        </w:rPr>
        <w:t>ｇ2本→マイザー軟膏0.05％10ｇ1本</w:t>
      </w:r>
    </w:p>
    <w:p w:rsidR="001B5CF0" w:rsidRPr="00730E3C" w:rsidRDefault="00730E3C" w:rsidP="0056595C">
      <w:pPr>
        <w:ind w:firstLineChars="200" w:firstLine="440"/>
        <w:rPr>
          <w:rFonts w:asciiTheme="majorEastAsia" w:eastAsiaTheme="majorEastAsia" w:hAnsiTheme="majorEastAsia" w:hint="eastAsia"/>
          <w:sz w:val="22"/>
        </w:rPr>
      </w:pPr>
      <w:r w:rsidRPr="00730E3C">
        <w:rPr>
          <w:rFonts w:asciiTheme="majorEastAsia" w:eastAsiaTheme="majorEastAsia" w:hAnsiTheme="majorEastAsia" w:hint="eastAsia"/>
          <w:sz w:val="22"/>
        </w:rPr>
        <w:t>セルタッチパップ70（6枚入）×7袋→セルタッチパップ70（7枚入）×6袋</w:t>
      </w:r>
    </w:p>
    <w:p w:rsidR="0090244F"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t>⑤ 服薬状況の理由により処方薬剤を半割、粉砕、混合することあるいはその逆</w:t>
      </w:r>
    </w:p>
    <w:p w:rsidR="00730E3C" w:rsidRPr="00730E3C"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t>「抗がん剤(ステロイドを含む)は除く」</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・安定性データに留意のこと</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・必ず患者へ説明（服用方法、価格）後、同意を得て変更のこと</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例：ワーファリン錠1ｍｇ2.5錠→ワーファリン錠1ｍｇ2錠</w:t>
      </w:r>
    </w:p>
    <w:p w:rsidR="00730E3C" w:rsidRDefault="00730E3C" w:rsidP="00251B55">
      <w:pPr>
        <w:ind w:firstLineChars="200" w:firstLine="440"/>
        <w:rPr>
          <w:rFonts w:asciiTheme="majorEastAsia" w:eastAsiaTheme="majorEastAsia" w:hAnsiTheme="majorEastAsia"/>
          <w:sz w:val="22"/>
        </w:rPr>
      </w:pPr>
      <w:r w:rsidRPr="00730E3C">
        <w:rPr>
          <w:rFonts w:asciiTheme="majorEastAsia" w:eastAsiaTheme="majorEastAsia" w:hAnsiTheme="majorEastAsia" w:hint="eastAsia"/>
          <w:sz w:val="22"/>
        </w:rPr>
        <w:t>ワーファリン錠0.5ｍｇ1錠</w:t>
      </w:r>
    </w:p>
    <w:p w:rsidR="0056595C" w:rsidRDefault="0056595C" w:rsidP="00251B55">
      <w:pPr>
        <w:ind w:firstLineChars="200" w:firstLine="440"/>
        <w:rPr>
          <w:rFonts w:asciiTheme="majorEastAsia" w:eastAsiaTheme="majorEastAsia" w:hAnsiTheme="majorEastAsia" w:hint="eastAsia"/>
          <w:sz w:val="22"/>
        </w:rPr>
      </w:pPr>
    </w:p>
    <w:p w:rsidR="00730E3C" w:rsidRPr="00730E3C"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lastRenderedPageBreak/>
        <w:t>⑥ 「患者希望」あるいは「アドヒアランス不良で一包化による向上</w:t>
      </w:r>
      <w:r w:rsidR="0090244F">
        <w:rPr>
          <w:rFonts w:asciiTheme="majorEastAsia" w:eastAsiaTheme="majorEastAsia" w:hAnsiTheme="majorEastAsia" w:hint="eastAsia"/>
          <w:b/>
          <w:sz w:val="22"/>
        </w:rPr>
        <w:t>が見込まれる」の理由により、一包化調剤を行うこと（抗がん剤及び</w:t>
      </w:r>
      <w:r w:rsidRPr="00730E3C">
        <w:rPr>
          <w:rFonts w:asciiTheme="majorEastAsia" w:eastAsiaTheme="majorEastAsia" w:hAnsiTheme="majorEastAsia" w:hint="eastAsia"/>
          <w:b/>
          <w:sz w:val="22"/>
        </w:rPr>
        <w:t>「一包化しない」とある場合は除く）</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・上記以外の理由は、合意範囲外とする</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・安定性データに留意のこと</w:t>
      </w:r>
    </w:p>
    <w:p w:rsidR="001B5CF0" w:rsidRPr="00730E3C" w:rsidRDefault="00730E3C" w:rsidP="00730E3C">
      <w:pPr>
        <w:rPr>
          <w:rFonts w:asciiTheme="majorEastAsia" w:eastAsiaTheme="majorEastAsia" w:hAnsiTheme="majorEastAsia" w:hint="eastAsia"/>
          <w:sz w:val="22"/>
        </w:rPr>
      </w:pPr>
      <w:r w:rsidRPr="00730E3C">
        <w:rPr>
          <w:rFonts w:asciiTheme="majorEastAsia" w:eastAsiaTheme="majorEastAsia" w:hAnsiTheme="majorEastAsia" w:hint="eastAsia"/>
          <w:sz w:val="22"/>
        </w:rPr>
        <w:t>・必ず患者に服用方法および患者負担額について説明後、同意を得て変更のこと</w:t>
      </w:r>
    </w:p>
    <w:p w:rsidR="00730E3C" w:rsidRPr="00730E3C"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t>⑦ 残薬調整のための投与日数の短縮</w:t>
      </w:r>
    </w:p>
    <w:p w:rsidR="0056595C"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t>薬歴上、継続処方されている処方薬に残薬があるため、投与日数を調整（短縮）して</w:t>
      </w:r>
    </w:p>
    <w:p w:rsidR="00730E3C" w:rsidRPr="00730E3C"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t>調剤する場合</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・短縮の場合に限る（削除する場合や、日数の延長は不可）</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・麻薬に関するものは除く</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・頓服処方は除く</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・外用剤の本数の変更を含む</w:t>
      </w:r>
    </w:p>
    <w:p w:rsidR="00730E3C" w:rsidRPr="00730E3C"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例：アジルバ錠20ｍｇ30日分→20日分（10日分残薬があるため）</w:t>
      </w:r>
    </w:p>
    <w:p w:rsidR="00730E3C" w:rsidRPr="00730E3C" w:rsidRDefault="00730E3C" w:rsidP="00251B55">
      <w:pPr>
        <w:ind w:left="220" w:hangingChars="100" w:hanging="220"/>
        <w:rPr>
          <w:rFonts w:asciiTheme="majorEastAsia" w:eastAsiaTheme="majorEastAsia" w:hAnsiTheme="majorEastAsia"/>
          <w:sz w:val="22"/>
        </w:rPr>
      </w:pPr>
      <w:r w:rsidRPr="00730E3C">
        <w:rPr>
          <w:rFonts w:asciiTheme="majorEastAsia" w:eastAsiaTheme="majorEastAsia" w:hAnsiTheme="majorEastAsia" w:hint="eastAsia"/>
          <w:sz w:val="22"/>
        </w:rPr>
        <w:t>※著しい服薬アドヒアランス低下が認められる場合などはトレーシングレポートを用いて残薬が生じた理由についてトレーシングレポートを用いて情報提供をお願いします。</w:t>
      </w:r>
    </w:p>
    <w:p w:rsidR="0090244F" w:rsidRDefault="00730E3C" w:rsidP="00251B55">
      <w:pPr>
        <w:ind w:left="220" w:hangingChars="100" w:hanging="220"/>
        <w:rPr>
          <w:rFonts w:asciiTheme="majorEastAsia" w:eastAsiaTheme="majorEastAsia" w:hAnsiTheme="majorEastAsia"/>
          <w:sz w:val="22"/>
        </w:rPr>
      </w:pPr>
      <w:r w:rsidRPr="00730E3C">
        <w:rPr>
          <w:rFonts w:asciiTheme="majorEastAsia" w:eastAsiaTheme="majorEastAsia" w:hAnsiTheme="majorEastAsia" w:hint="eastAsia"/>
          <w:sz w:val="22"/>
        </w:rPr>
        <w:t>※院外処方箋における「保険薬局が調剤時に残薬を確認した場合の対応」で、「保険医療機関へ疑義照会した上で調剤」の項目にチェックがある場合は除く。この場合、</w:t>
      </w:r>
    </w:p>
    <w:p w:rsidR="001B5CF0" w:rsidRPr="00730E3C" w:rsidRDefault="00730E3C" w:rsidP="0056595C">
      <w:pPr>
        <w:ind w:leftChars="100" w:left="210"/>
        <w:rPr>
          <w:rFonts w:asciiTheme="majorEastAsia" w:eastAsiaTheme="majorEastAsia" w:hAnsiTheme="majorEastAsia" w:hint="eastAsia"/>
          <w:sz w:val="22"/>
        </w:rPr>
      </w:pPr>
      <w:r w:rsidRPr="00730E3C">
        <w:rPr>
          <w:rFonts w:asciiTheme="majorEastAsia" w:eastAsiaTheme="majorEastAsia" w:hAnsiTheme="majorEastAsia" w:hint="eastAsia"/>
          <w:sz w:val="22"/>
        </w:rPr>
        <w:t>指示通り疑義照会が必要です。</w:t>
      </w:r>
    </w:p>
    <w:p w:rsidR="00730E3C" w:rsidRPr="00730E3C"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t>⑧ 外用剤の用法（適用回数、適用部位、適用タイミング等）が口頭で指示されている場合（薬歴上、あるいは患者面談上、用法が明確な場合を含む）の用法追記</w:t>
      </w:r>
    </w:p>
    <w:p w:rsidR="001B5CF0" w:rsidRPr="00730E3C" w:rsidRDefault="00730E3C" w:rsidP="00730E3C">
      <w:pPr>
        <w:rPr>
          <w:rFonts w:asciiTheme="majorEastAsia" w:eastAsiaTheme="majorEastAsia" w:hAnsiTheme="majorEastAsia" w:hint="eastAsia"/>
          <w:sz w:val="22"/>
        </w:rPr>
      </w:pPr>
      <w:r w:rsidRPr="00730E3C">
        <w:rPr>
          <w:rFonts w:asciiTheme="majorEastAsia" w:eastAsiaTheme="majorEastAsia" w:hAnsiTheme="majorEastAsia" w:hint="eastAsia"/>
          <w:sz w:val="22"/>
        </w:rPr>
        <w:t>例：モーラステープＬ3袋1日1回→1日1回腰</w:t>
      </w:r>
    </w:p>
    <w:p w:rsidR="0056595C"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t>⑨ ビスホスホネート製剤等の「週１回」、「月１回」製剤が、連日投与の他の処方薬と同一の日数で処方されている場合の処方日数適正化（薬歴や患者面談の上、明らかな</w:t>
      </w:r>
    </w:p>
    <w:p w:rsidR="00730E3C" w:rsidRPr="00730E3C"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t>処方間違いである場合）</w:t>
      </w:r>
    </w:p>
    <w:p w:rsidR="0056595C" w:rsidRPr="00730E3C" w:rsidRDefault="00730E3C" w:rsidP="00730E3C">
      <w:pPr>
        <w:rPr>
          <w:rFonts w:asciiTheme="majorEastAsia" w:eastAsiaTheme="majorEastAsia" w:hAnsiTheme="majorEastAsia" w:hint="eastAsia"/>
          <w:sz w:val="22"/>
        </w:rPr>
      </w:pPr>
      <w:r w:rsidRPr="00730E3C">
        <w:rPr>
          <w:rFonts w:asciiTheme="majorEastAsia" w:eastAsiaTheme="majorEastAsia" w:hAnsiTheme="majorEastAsia" w:hint="eastAsia"/>
          <w:sz w:val="22"/>
        </w:rPr>
        <w:t>例：ボナロン錠35ｍｇ（週１回製剤）1錠分１起床時14日分→2日分</w:t>
      </w:r>
    </w:p>
    <w:p w:rsidR="0056595C"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t>⑩ 「１日おきに服用」と指示された処方薬が、連日投与の他の薬剤と同一の日数で</w:t>
      </w:r>
    </w:p>
    <w:p w:rsidR="00730E3C" w:rsidRPr="00730E3C" w:rsidRDefault="00730E3C" w:rsidP="00730E3C">
      <w:pPr>
        <w:rPr>
          <w:rFonts w:asciiTheme="majorEastAsia" w:eastAsiaTheme="majorEastAsia" w:hAnsiTheme="majorEastAsia"/>
          <w:b/>
          <w:sz w:val="22"/>
        </w:rPr>
      </w:pPr>
      <w:r w:rsidRPr="00730E3C">
        <w:rPr>
          <w:rFonts w:asciiTheme="majorEastAsia" w:eastAsiaTheme="majorEastAsia" w:hAnsiTheme="majorEastAsia" w:hint="eastAsia"/>
          <w:b/>
          <w:sz w:val="22"/>
        </w:rPr>
        <w:t>処方されている場合の処方日数の適正化（薬歴や患者面談の上、明らかな処方間違いである場合）</w:t>
      </w:r>
    </w:p>
    <w:p w:rsidR="00F73E37" w:rsidRDefault="00730E3C" w:rsidP="00730E3C">
      <w:pPr>
        <w:rPr>
          <w:rFonts w:asciiTheme="majorEastAsia" w:eastAsiaTheme="majorEastAsia" w:hAnsiTheme="majorEastAsia"/>
          <w:sz w:val="22"/>
        </w:rPr>
      </w:pPr>
      <w:r w:rsidRPr="00730E3C">
        <w:rPr>
          <w:rFonts w:asciiTheme="majorEastAsia" w:eastAsiaTheme="majorEastAsia" w:hAnsiTheme="majorEastAsia" w:hint="eastAsia"/>
          <w:sz w:val="22"/>
        </w:rPr>
        <w:t>例：ラシックス20ｍｇ1錠分１朝食後隔日投与30日分→15日分</w:t>
      </w:r>
    </w:p>
    <w:p w:rsidR="00A90679" w:rsidRDefault="00A90679" w:rsidP="00730E3C">
      <w:pPr>
        <w:rPr>
          <w:rFonts w:asciiTheme="majorEastAsia" w:eastAsiaTheme="majorEastAsia" w:hAnsiTheme="majorEastAsia"/>
          <w:sz w:val="22"/>
        </w:rPr>
      </w:pPr>
    </w:p>
    <w:p w:rsidR="0056595C" w:rsidRDefault="0056595C" w:rsidP="00730E3C">
      <w:pPr>
        <w:rPr>
          <w:rFonts w:asciiTheme="majorEastAsia" w:eastAsiaTheme="majorEastAsia" w:hAnsiTheme="majorEastAsia"/>
          <w:sz w:val="22"/>
        </w:rPr>
      </w:pPr>
    </w:p>
    <w:p w:rsidR="0056595C" w:rsidRDefault="0056595C" w:rsidP="00730E3C">
      <w:pPr>
        <w:rPr>
          <w:rFonts w:asciiTheme="majorEastAsia" w:eastAsiaTheme="majorEastAsia" w:hAnsiTheme="majorEastAsia"/>
          <w:sz w:val="22"/>
        </w:rPr>
      </w:pPr>
      <w:bookmarkStart w:id="0" w:name="_GoBack"/>
      <w:bookmarkEnd w:id="0"/>
    </w:p>
    <w:p w:rsidR="00661A0C" w:rsidRDefault="00661A0C" w:rsidP="00730E3C">
      <w:pPr>
        <w:rPr>
          <w:rFonts w:asciiTheme="majorEastAsia" w:eastAsiaTheme="majorEastAsia" w:hAnsiTheme="majorEastAsia"/>
          <w:sz w:val="22"/>
        </w:rPr>
      </w:pPr>
    </w:p>
    <w:p w:rsidR="00661A0C" w:rsidRDefault="00661A0C" w:rsidP="00730E3C">
      <w:pPr>
        <w:rPr>
          <w:rFonts w:asciiTheme="majorEastAsia" w:eastAsiaTheme="majorEastAsia" w:hAnsiTheme="majorEastAsia"/>
          <w:sz w:val="22"/>
        </w:rPr>
      </w:pPr>
    </w:p>
    <w:p w:rsidR="00661A0C" w:rsidRDefault="00661A0C" w:rsidP="00730E3C">
      <w:pPr>
        <w:rPr>
          <w:rFonts w:asciiTheme="majorEastAsia" w:eastAsiaTheme="majorEastAsia" w:hAnsiTheme="majorEastAsia"/>
          <w:sz w:val="22"/>
        </w:rPr>
      </w:pPr>
    </w:p>
    <w:p w:rsidR="00661A0C" w:rsidRDefault="00661A0C" w:rsidP="00730E3C">
      <w:pPr>
        <w:rPr>
          <w:rFonts w:asciiTheme="majorEastAsia" w:eastAsiaTheme="majorEastAsia" w:hAnsiTheme="majorEastAsia" w:hint="eastAsia"/>
          <w:sz w:val="22"/>
        </w:rPr>
      </w:pPr>
    </w:p>
    <w:p w:rsidR="00226401" w:rsidRDefault="0056595C" w:rsidP="0056595C">
      <w:pPr>
        <w:jc w:val="right"/>
        <w:rPr>
          <w:rFonts w:asciiTheme="majorEastAsia" w:eastAsiaTheme="majorEastAsia" w:hAnsiTheme="majorEastAsia"/>
          <w:sz w:val="22"/>
        </w:rPr>
      </w:pPr>
      <w:r>
        <w:rPr>
          <w:rFonts w:asciiTheme="majorEastAsia" w:eastAsiaTheme="majorEastAsia" w:hAnsiTheme="majorEastAsia"/>
          <w:sz w:val="22"/>
        </w:rPr>
        <w:t>初版　：2017年2月27日</w:t>
      </w:r>
    </w:p>
    <w:p w:rsidR="005D7C7F" w:rsidRPr="00992AEA" w:rsidRDefault="0056595C" w:rsidP="00661A0C">
      <w:pPr>
        <w:jc w:val="right"/>
        <w:rPr>
          <w:rFonts w:asciiTheme="majorEastAsia" w:eastAsiaTheme="majorEastAsia" w:hAnsiTheme="majorEastAsia" w:hint="eastAsia"/>
          <w:sz w:val="22"/>
        </w:rPr>
      </w:pPr>
      <w:r>
        <w:rPr>
          <w:rFonts w:asciiTheme="majorEastAsia" w:eastAsiaTheme="majorEastAsia" w:hAnsiTheme="majorEastAsia"/>
          <w:sz w:val="22"/>
        </w:rPr>
        <w:t>第2</w:t>
      </w:r>
      <w:r>
        <w:rPr>
          <w:rFonts w:asciiTheme="majorEastAsia" w:eastAsiaTheme="majorEastAsia" w:hAnsiTheme="majorEastAsia" w:hint="eastAsia"/>
          <w:sz w:val="22"/>
        </w:rPr>
        <w:t>版：2021年6月18日</w:t>
      </w:r>
    </w:p>
    <w:sectPr w:rsidR="005D7C7F" w:rsidRPr="00992AEA" w:rsidSect="001B5CF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296" w:rsidRDefault="00484296" w:rsidP="00A90679">
      <w:r>
        <w:separator/>
      </w:r>
    </w:p>
  </w:endnote>
  <w:endnote w:type="continuationSeparator" w:id="0">
    <w:p w:rsidR="00484296" w:rsidRDefault="00484296" w:rsidP="00A9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296" w:rsidRDefault="00484296" w:rsidP="00A90679">
      <w:r>
        <w:separator/>
      </w:r>
    </w:p>
  </w:footnote>
  <w:footnote w:type="continuationSeparator" w:id="0">
    <w:p w:rsidR="00484296" w:rsidRDefault="00484296" w:rsidP="00A90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7AE8"/>
    <w:multiLevelType w:val="hybridMultilevel"/>
    <w:tmpl w:val="8616A2E8"/>
    <w:lvl w:ilvl="0" w:tplc="DF28B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3C"/>
    <w:rsid w:val="001B5CF0"/>
    <w:rsid w:val="00226401"/>
    <w:rsid w:val="00251B55"/>
    <w:rsid w:val="003E30C9"/>
    <w:rsid w:val="00484296"/>
    <w:rsid w:val="004C7AFD"/>
    <w:rsid w:val="0056595C"/>
    <w:rsid w:val="005A1778"/>
    <w:rsid w:val="005D7C7F"/>
    <w:rsid w:val="00661A0C"/>
    <w:rsid w:val="00730E3C"/>
    <w:rsid w:val="007A1C3D"/>
    <w:rsid w:val="00830F98"/>
    <w:rsid w:val="0090146C"/>
    <w:rsid w:val="0090244F"/>
    <w:rsid w:val="00992AEA"/>
    <w:rsid w:val="00A90679"/>
    <w:rsid w:val="00B75B04"/>
    <w:rsid w:val="00DA58F2"/>
    <w:rsid w:val="00E054CD"/>
    <w:rsid w:val="00E748C2"/>
    <w:rsid w:val="00F73E37"/>
    <w:rsid w:val="00FC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AEFFE3B-F9E7-4CE1-9C8A-4900AB4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5C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5CF0"/>
    <w:rPr>
      <w:rFonts w:asciiTheme="majorHAnsi" w:eastAsiaTheme="majorEastAsia" w:hAnsiTheme="majorHAnsi" w:cstheme="majorBidi"/>
      <w:sz w:val="18"/>
      <w:szCs w:val="18"/>
    </w:rPr>
  </w:style>
  <w:style w:type="paragraph" w:styleId="a5">
    <w:name w:val="header"/>
    <w:basedOn w:val="a"/>
    <w:link w:val="a6"/>
    <w:uiPriority w:val="99"/>
    <w:unhideWhenUsed/>
    <w:rsid w:val="00A90679"/>
    <w:pPr>
      <w:tabs>
        <w:tab w:val="center" w:pos="4252"/>
        <w:tab w:val="right" w:pos="8504"/>
      </w:tabs>
      <w:snapToGrid w:val="0"/>
    </w:pPr>
  </w:style>
  <w:style w:type="character" w:customStyle="1" w:styleId="a6">
    <w:name w:val="ヘッダー (文字)"/>
    <w:basedOn w:val="a0"/>
    <w:link w:val="a5"/>
    <w:uiPriority w:val="99"/>
    <w:rsid w:val="00A90679"/>
  </w:style>
  <w:style w:type="paragraph" w:styleId="a7">
    <w:name w:val="footer"/>
    <w:basedOn w:val="a"/>
    <w:link w:val="a8"/>
    <w:uiPriority w:val="99"/>
    <w:unhideWhenUsed/>
    <w:rsid w:val="00A90679"/>
    <w:pPr>
      <w:tabs>
        <w:tab w:val="center" w:pos="4252"/>
        <w:tab w:val="right" w:pos="8504"/>
      </w:tabs>
      <w:snapToGrid w:val="0"/>
    </w:pPr>
  </w:style>
  <w:style w:type="character" w:customStyle="1" w:styleId="a8">
    <w:name w:val="フッター (文字)"/>
    <w:basedOn w:val="a0"/>
    <w:link w:val="a7"/>
    <w:uiPriority w:val="99"/>
    <w:rsid w:val="00A90679"/>
  </w:style>
  <w:style w:type="character" w:styleId="a9">
    <w:name w:val="Hyperlink"/>
    <w:basedOn w:val="a0"/>
    <w:uiPriority w:val="99"/>
    <w:unhideWhenUsed/>
    <w:rsid w:val="00A90679"/>
    <w:rPr>
      <w:color w:val="0563C1" w:themeColor="hyperlink"/>
      <w:u w:val="single"/>
    </w:rPr>
  </w:style>
  <w:style w:type="paragraph" w:styleId="aa">
    <w:name w:val="List Paragraph"/>
    <w:basedOn w:val="a"/>
    <w:uiPriority w:val="34"/>
    <w:qFormat/>
    <w:rsid w:val="009024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yakuzaibu</dc:creator>
  <cp:keywords/>
  <dc:description/>
  <cp:lastModifiedBy>yakuzaibu</cp:lastModifiedBy>
  <cp:revision>2</cp:revision>
  <cp:lastPrinted>2022-03-15T07:28:00Z</cp:lastPrinted>
  <dcterms:created xsi:type="dcterms:W3CDTF">2022-03-15T07:43:00Z</dcterms:created>
  <dcterms:modified xsi:type="dcterms:W3CDTF">2022-03-15T07:43:00Z</dcterms:modified>
</cp:coreProperties>
</file>